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B1" w:rsidRPr="00C32F6D" w:rsidRDefault="00C32F6D" w:rsidP="00C32F6D">
      <w:pPr>
        <w:jc w:val="center"/>
        <w:rPr>
          <w:b/>
          <w:sz w:val="24"/>
        </w:rPr>
      </w:pPr>
      <w:r w:rsidRPr="00C32F6D">
        <w:rPr>
          <w:b/>
          <w:sz w:val="24"/>
        </w:rPr>
        <w:t>Glassware Cleaning Tips – Louie Group</w:t>
      </w:r>
      <w:r w:rsidR="00623938">
        <w:rPr>
          <w:b/>
          <w:sz w:val="24"/>
        </w:rPr>
        <w:t xml:space="preserve"> (email corrections to slouie@uh.edu)</w:t>
      </w:r>
    </w:p>
    <w:p w:rsidR="00B2350B" w:rsidRPr="0023349C" w:rsidRDefault="00B2350B" w:rsidP="00B2350B">
      <w:pPr>
        <w:pStyle w:val="ListParagraph"/>
        <w:numPr>
          <w:ilvl w:val="0"/>
          <w:numId w:val="1"/>
        </w:numPr>
        <w:ind w:left="360"/>
      </w:pPr>
      <w:r w:rsidRPr="0023349C">
        <w:rPr>
          <w:b/>
        </w:rPr>
        <w:t>Avoid letting sample or soap solution dry</w:t>
      </w:r>
      <w:r w:rsidRPr="0023349C">
        <w:t xml:space="preserve"> in the glassware.  Once contaminants dry on the glassware, t</w:t>
      </w:r>
      <w:r w:rsidR="00F754C5" w:rsidRPr="0023349C">
        <w:t>hey become much more difficult and sometimes impossible</w:t>
      </w:r>
      <w:r w:rsidRPr="0023349C">
        <w:t xml:space="preserve"> to remove.  Immediately rinse and move to a cleaning bath.</w:t>
      </w:r>
    </w:p>
    <w:p w:rsidR="0023349C" w:rsidRPr="0023349C" w:rsidRDefault="00B2350B" w:rsidP="00623938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 w:rsidRPr="0023349C">
        <w:t xml:space="preserve">When placing containers in </w:t>
      </w:r>
      <w:r w:rsidR="006A6CAD">
        <w:t>a</w:t>
      </w:r>
      <w:r w:rsidRPr="0023349C">
        <w:t xml:space="preserve"> cleaning bath, </w:t>
      </w:r>
      <w:r w:rsidRPr="0023349C">
        <w:rPr>
          <w:b/>
        </w:rPr>
        <w:t>avoid “floaters.”</w:t>
      </w:r>
      <w:r w:rsidRPr="0023349C">
        <w:t xml:space="preserve">  Make sure the container is fully submerged under the liquid surf</w:t>
      </w:r>
      <w:r w:rsidR="00B84B18" w:rsidRPr="0023349C">
        <w:t xml:space="preserve">ace without air bubbles: </w:t>
      </w:r>
      <w:r w:rsidRPr="0023349C">
        <w:t xml:space="preserve">manually </w:t>
      </w:r>
      <w:r w:rsidR="00B84B18" w:rsidRPr="0023349C">
        <w:t xml:space="preserve">push </w:t>
      </w:r>
      <w:r w:rsidR="0023349C">
        <w:t xml:space="preserve">the container </w:t>
      </w:r>
      <w:r w:rsidR="00B84B18" w:rsidRPr="0023349C">
        <w:t xml:space="preserve">under the water and turn </w:t>
      </w:r>
      <w:r w:rsidRPr="0023349C">
        <w:t>the open</w:t>
      </w:r>
      <w:r w:rsidR="00F754C5" w:rsidRPr="0023349C">
        <w:t xml:space="preserve"> side up to allow air</w:t>
      </w:r>
      <w:r w:rsidR="0023349C">
        <w:t xml:space="preserve"> bubbles</w:t>
      </w:r>
      <w:r w:rsidR="00F754C5" w:rsidRPr="0023349C">
        <w:t xml:space="preserve"> to escape</w:t>
      </w:r>
      <w:r w:rsidRPr="0023349C">
        <w:t>.  Any surface that is not in contact with the cleaning solution is not being cleaned</w:t>
      </w:r>
      <w:r w:rsidR="00623938">
        <w:t>:</w:t>
      </w:r>
    </w:p>
    <w:p w:rsidR="00B84B18" w:rsidRDefault="00B84B18" w:rsidP="00B84B18">
      <w:pPr>
        <w:pStyle w:val="ListParagraph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2B0A52" wp14:editId="7B37D61C">
            <wp:extent cx="2781300" cy="1259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82" cy="1263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B18" w:rsidRDefault="00B84B18" w:rsidP="00B84B18">
      <w:pPr>
        <w:pStyle w:val="ListParagraph"/>
        <w:ind w:left="0"/>
        <w:jc w:val="center"/>
        <w:rPr>
          <w:b/>
        </w:rPr>
      </w:pPr>
    </w:p>
    <w:p w:rsidR="00B2350B" w:rsidRPr="0023349C" w:rsidRDefault="00B2350B" w:rsidP="00B2350B">
      <w:pPr>
        <w:pStyle w:val="ListParagraph"/>
        <w:numPr>
          <w:ilvl w:val="0"/>
          <w:numId w:val="1"/>
        </w:numPr>
        <w:ind w:left="360"/>
      </w:pPr>
      <w:r w:rsidRPr="0023349C">
        <w:t>Cover the cleaning bath if soaking for long time periods</w:t>
      </w:r>
      <w:r w:rsidR="006B69A3" w:rsidRPr="0023349C">
        <w:t>,</w:t>
      </w:r>
      <w:r w:rsidRPr="0023349C">
        <w:t xml:space="preserve"> to </w:t>
      </w:r>
      <w:r w:rsidR="006B69A3" w:rsidRPr="0023349C">
        <w:t>minimize</w:t>
      </w:r>
      <w:r w:rsidRPr="0023349C">
        <w:t xml:space="preserve"> evaporation and drying.</w:t>
      </w:r>
    </w:p>
    <w:p w:rsidR="00B84B18" w:rsidRPr="0023349C" w:rsidRDefault="00B84B18" w:rsidP="00B2350B">
      <w:pPr>
        <w:pStyle w:val="ListParagraph"/>
        <w:numPr>
          <w:ilvl w:val="0"/>
          <w:numId w:val="1"/>
        </w:numPr>
        <w:ind w:left="360"/>
      </w:pPr>
      <w:r w:rsidRPr="0023349C">
        <w:rPr>
          <w:b/>
        </w:rPr>
        <w:t>To check cleanliness</w:t>
      </w:r>
      <w:r w:rsidRPr="0023349C">
        <w:t>: Fill the container with water and pour out the water.</w:t>
      </w:r>
      <w:r w:rsidR="000B2020">
        <w:t xml:space="preserve"> The water should “sheet” down the sides of the glassware.</w:t>
      </w:r>
      <w:r w:rsidRPr="0023349C">
        <w:t xml:space="preserve">  If droplets of water are </w:t>
      </w:r>
      <w:r w:rsidR="000B2020">
        <w:t xml:space="preserve">observed </w:t>
      </w:r>
      <w:r w:rsidRPr="0023349C">
        <w:t xml:space="preserve">clinging to the glassware, there is some residue </w:t>
      </w:r>
      <w:r w:rsidR="000B2020">
        <w:t>remaining</w:t>
      </w:r>
      <w:r w:rsidR="0023349C">
        <w:t xml:space="preserve"> that should be cleaned further</w:t>
      </w:r>
      <w:r w:rsidR="000B2020">
        <w:t xml:space="preserve"> if rigorously clean glassware is needed</w:t>
      </w:r>
      <w:r w:rsidRPr="0023349C">
        <w:t>.</w:t>
      </w:r>
    </w:p>
    <w:p w:rsidR="00C32F6D" w:rsidRPr="0023349C" w:rsidRDefault="00F754C5" w:rsidP="00C32F6D">
      <w:pPr>
        <w:rPr>
          <w:b/>
          <w:sz w:val="24"/>
          <w:u w:val="single"/>
        </w:rPr>
      </w:pPr>
      <w:r w:rsidRPr="0023349C">
        <w:rPr>
          <w:b/>
          <w:sz w:val="24"/>
          <w:u w:val="single"/>
        </w:rPr>
        <w:t>Cleaning Procedure for Aqueous Samples</w:t>
      </w:r>
      <w:r w:rsidR="00C32F6D" w:rsidRPr="0023349C">
        <w:rPr>
          <w:b/>
          <w:sz w:val="24"/>
          <w:u w:val="single"/>
        </w:rPr>
        <w:t>:</w:t>
      </w:r>
    </w:p>
    <w:p w:rsidR="000B2020" w:rsidRDefault="000B2020" w:rsidP="00C32F6D">
      <w:pPr>
        <w:rPr>
          <w:b/>
        </w:rPr>
      </w:pPr>
      <w:r>
        <w:rPr>
          <w:b/>
        </w:rPr>
        <w:t xml:space="preserve">First, read the general guidelines from </w:t>
      </w:r>
      <w:r w:rsidR="0023349C">
        <w:rPr>
          <w:b/>
        </w:rPr>
        <w:t>Sigma Aldrich and AceGlass.</w:t>
      </w:r>
    </w:p>
    <w:p w:rsidR="0023349C" w:rsidRPr="0023349C" w:rsidRDefault="0023349C" w:rsidP="00C32F6D">
      <w:pPr>
        <w:rPr>
          <w:b/>
        </w:rPr>
      </w:pPr>
      <w:r>
        <w:rPr>
          <w:b/>
        </w:rPr>
        <w:t xml:space="preserve">Step-by-step instructions are listed here for ease of </w:t>
      </w:r>
      <w:r w:rsidR="000B2020">
        <w:rPr>
          <w:b/>
        </w:rPr>
        <w:t>following in lab</w:t>
      </w:r>
      <w:r>
        <w:rPr>
          <w:b/>
        </w:rPr>
        <w:t>.</w:t>
      </w:r>
    </w:p>
    <w:p w:rsidR="00F754C5" w:rsidRPr="0023349C" w:rsidRDefault="0023349C" w:rsidP="00C32F6D">
      <w:pPr>
        <w:rPr>
          <w:b/>
          <w:i/>
        </w:rPr>
      </w:pPr>
      <w:r w:rsidRPr="000B2020">
        <w:rPr>
          <w:b/>
          <w:u w:val="single"/>
        </w:rPr>
        <w:t>Option A.</w:t>
      </w:r>
      <w:r>
        <w:rPr>
          <w:b/>
          <w:i/>
        </w:rPr>
        <w:t xml:space="preserve">  </w:t>
      </w:r>
      <w:r w:rsidR="00F754C5">
        <w:rPr>
          <w:b/>
          <w:i/>
        </w:rPr>
        <w:t>Soap bath (typical procedure for our lab</w:t>
      </w:r>
      <w:r>
        <w:rPr>
          <w:b/>
          <w:i/>
        </w:rPr>
        <w:t xml:space="preserve">, for </w:t>
      </w:r>
      <w:r w:rsidR="00367749">
        <w:rPr>
          <w:b/>
          <w:i/>
        </w:rPr>
        <w:t xml:space="preserve">mild or </w:t>
      </w:r>
      <w:r>
        <w:rPr>
          <w:b/>
          <w:i/>
        </w:rPr>
        <w:t>moderate cleaning</w:t>
      </w:r>
      <w:r w:rsidR="00F754C5">
        <w:rPr>
          <w:b/>
          <w:i/>
        </w:rPr>
        <w:t>)</w:t>
      </w:r>
      <w:r>
        <w:rPr>
          <w:b/>
          <w:i/>
        </w:rPr>
        <w:br/>
      </w:r>
      <w:r>
        <w:t xml:space="preserve">Some information that may help choose between the different types of soap: </w:t>
      </w:r>
      <w:hyperlink r:id="rId6" w:history="1">
        <w:r w:rsidR="004C6A01" w:rsidRPr="004C6A01">
          <w:rPr>
            <w:rStyle w:val="Hyperlink"/>
          </w:rPr>
          <w:t>TedPella</w:t>
        </w:r>
      </w:hyperlink>
      <w:r w:rsidR="004C6A01">
        <w:t xml:space="preserve"> / </w:t>
      </w:r>
      <w:hyperlink r:id="rId7" w:history="1">
        <w:r w:rsidR="004C6A01" w:rsidRPr="004C6A01">
          <w:rPr>
            <w:rStyle w:val="Hyperlink"/>
          </w:rPr>
          <w:t>Alconox</w:t>
        </w:r>
      </w:hyperlink>
      <w:r>
        <w:br/>
      </w:r>
      <w:r>
        <w:br/>
      </w:r>
      <w:r w:rsidR="00B2350B">
        <w:t xml:space="preserve">1) </w:t>
      </w:r>
      <w:r w:rsidR="00F754C5">
        <w:t>Wear the appropriate PPE (gloves, safety glasses, lab coat).</w:t>
      </w:r>
    </w:p>
    <w:p w:rsidR="00F754C5" w:rsidRDefault="00F754C5" w:rsidP="00C32F6D">
      <w:r>
        <w:t xml:space="preserve">2) </w:t>
      </w:r>
      <w:r w:rsidRPr="004C6A01">
        <w:t>Rinse</w:t>
      </w:r>
      <w:r>
        <w:t xml:space="preserve"> the dirty container with water first.  If residue is observed on the surface, </w:t>
      </w:r>
      <w:r w:rsidRPr="004C6A01">
        <w:t>scrub</w:t>
      </w:r>
      <w:r>
        <w:t xml:space="preserve"> with a brush if scratching is not critical (</w:t>
      </w:r>
      <w:r w:rsidR="00605A79">
        <w:rPr>
          <w:b/>
        </w:rPr>
        <w:t>Do not</w:t>
      </w:r>
      <w:r w:rsidRPr="004C6A01">
        <w:rPr>
          <w:b/>
        </w:rPr>
        <w:t xml:space="preserve"> scrub optical glass or quartz!</w:t>
      </w:r>
      <w:r>
        <w:t xml:space="preserve"> If absolutely necessary, use a foam- or cotton-tipped </w:t>
      </w:r>
      <w:r w:rsidR="00367749">
        <w:t>swab</w:t>
      </w:r>
      <w:r>
        <w:t>).</w:t>
      </w:r>
    </w:p>
    <w:p w:rsidR="00C32F6D" w:rsidRDefault="00F754C5" w:rsidP="00C32F6D">
      <w:r>
        <w:t xml:space="preserve">3) </w:t>
      </w:r>
      <w:r w:rsidR="00B2350B" w:rsidRPr="004C6A01">
        <w:t>S</w:t>
      </w:r>
      <w:r w:rsidR="00C32F6D" w:rsidRPr="004C6A01">
        <w:t>oak</w:t>
      </w:r>
      <w:r w:rsidR="00C32F6D">
        <w:t xml:space="preserve"> the glassware</w:t>
      </w:r>
      <w:r>
        <w:t xml:space="preserve"> overnight</w:t>
      </w:r>
      <w:r w:rsidR="00C32F6D">
        <w:t xml:space="preserve"> in a soap bath (e.g., Liquinox, Alc</w:t>
      </w:r>
      <w:r w:rsidR="0023349C">
        <w:t>onox, or Contrad 70 solution).</w:t>
      </w:r>
      <w:r w:rsidR="0023349C">
        <w:br/>
      </w:r>
      <w:r w:rsidR="00C32F6D">
        <w:t>Follow the manufacturer’s directions to dilute the soap</w:t>
      </w:r>
      <w:r>
        <w:t xml:space="preserve"> and check for any </w:t>
      </w:r>
      <w:r w:rsidR="0023349C">
        <w:t xml:space="preserve">specific </w:t>
      </w:r>
      <w:r>
        <w:t xml:space="preserve">cleaning </w:t>
      </w:r>
      <w:r w:rsidR="0023349C">
        <w:t>protocol</w:t>
      </w:r>
      <w:r w:rsidR="00C32F6D">
        <w:t>.</w:t>
      </w:r>
    </w:p>
    <w:p w:rsidR="00B2350B" w:rsidRDefault="00F754C5" w:rsidP="00C32F6D">
      <w:r>
        <w:t>4</w:t>
      </w:r>
      <w:r w:rsidR="00B2350B">
        <w:t xml:space="preserve">) </w:t>
      </w:r>
      <w:r>
        <w:t>Another brush scrubbing may be performed after soaking</w:t>
      </w:r>
      <w:r w:rsidR="00B2350B">
        <w:t>.</w:t>
      </w:r>
    </w:p>
    <w:p w:rsidR="00C32F6D" w:rsidRDefault="00F754C5" w:rsidP="00C32F6D">
      <w:r>
        <w:t>5</w:t>
      </w:r>
      <w:r w:rsidR="00B2350B">
        <w:t xml:space="preserve">) </w:t>
      </w:r>
      <w:r w:rsidR="00B2350B" w:rsidRPr="004C6A01">
        <w:t>R</w:t>
      </w:r>
      <w:r w:rsidR="00C32F6D" w:rsidRPr="004C6A01">
        <w:t>inse</w:t>
      </w:r>
      <w:r w:rsidR="00C32F6D">
        <w:t xml:space="preserve"> </w:t>
      </w:r>
      <w:r w:rsidR="00B2350B">
        <w:t xml:space="preserve">with water until no more soap suds are visible, then </w:t>
      </w:r>
      <w:r w:rsidR="00B2350B" w:rsidRPr="004C6A01">
        <w:t xml:space="preserve">rinse at least 6 more times with </w:t>
      </w:r>
      <w:r w:rsidR="004C6A01" w:rsidRPr="004C6A01">
        <w:t>DI</w:t>
      </w:r>
      <w:r w:rsidR="00B2350B" w:rsidRPr="004C6A01">
        <w:t xml:space="preserve"> water</w:t>
      </w:r>
      <w:r w:rsidR="00C32F6D">
        <w:t>.</w:t>
      </w:r>
    </w:p>
    <w:p w:rsidR="00C32F6D" w:rsidRDefault="00F754C5" w:rsidP="00C32F6D">
      <w:r>
        <w:t>6</w:t>
      </w:r>
      <w:r w:rsidR="00B2350B">
        <w:t>) An ethanol rinse may optionally be added,</w:t>
      </w:r>
      <w:r w:rsidR="00C32F6D">
        <w:t xml:space="preserve"> followed by </w:t>
      </w:r>
      <w:r w:rsidR="00B2350B">
        <w:t>an additional 6 DI water rinses.</w:t>
      </w:r>
    </w:p>
    <w:p w:rsidR="004C6A01" w:rsidRDefault="004C6A01">
      <w:pPr>
        <w:rPr>
          <w:b/>
          <w:i/>
        </w:rPr>
      </w:pPr>
      <w:r>
        <w:t>7) Dry by air-drying or in a drying oven.</w:t>
      </w:r>
      <w:r>
        <w:rPr>
          <w:b/>
          <w:i/>
        </w:rPr>
        <w:br w:type="page"/>
      </w:r>
    </w:p>
    <w:p w:rsidR="00C32F6D" w:rsidRDefault="000B2020" w:rsidP="00C32F6D">
      <w:r w:rsidRPr="000B2020">
        <w:rPr>
          <w:b/>
          <w:u w:val="single"/>
        </w:rPr>
        <w:lastRenderedPageBreak/>
        <w:t>Option B.</w:t>
      </w:r>
      <w:r w:rsidRPr="000B2020">
        <w:rPr>
          <w:b/>
        </w:rPr>
        <w:t xml:space="preserve"> </w:t>
      </w:r>
      <w:r>
        <w:rPr>
          <w:b/>
        </w:rPr>
        <w:t xml:space="preserve"> </w:t>
      </w:r>
      <w:r w:rsidR="00F754C5">
        <w:rPr>
          <w:b/>
          <w:i/>
        </w:rPr>
        <w:t>Acid cleaning (</w:t>
      </w:r>
      <w:r w:rsidR="0023349C">
        <w:rPr>
          <w:b/>
          <w:i/>
        </w:rPr>
        <w:t>for thorough cleaning, e.g. heavy organic or inorganic residues</w:t>
      </w:r>
      <w:r w:rsidR="00F754C5">
        <w:rPr>
          <w:b/>
          <w:i/>
        </w:rPr>
        <w:t>)</w:t>
      </w:r>
    </w:p>
    <w:p w:rsidR="0023349C" w:rsidRDefault="0023349C" w:rsidP="0023349C">
      <w:r>
        <w:t>1) Wear the appropriate PPE (</w:t>
      </w:r>
      <w:r>
        <w:rPr>
          <w:b/>
        </w:rPr>
        <w:t xml:space="preserve">rubber </w:t>
      </w:r>
      <w:r>
        <w:t>gloves, safety glasses, lab coat).</w:t>
      </w:r>
    </w:p>
    <w:p w:rsidR="0023349C" w:rsidRDefault="0023349C" w:rsidP="0023349C">
      <w:r>
        <w:t xml:space="preserve">2) </w:t>
      </w:r>
      <w:r w:rsidRPr="004C6A01">
        <w:t>Rinse</w:t>
      </w:r>
      <w:r>
        <w:t xml:space="preserve"> the dirty container with water first.  If residue is observed on the surface, </w:t>
      </w:r>
      <w:r w:rsidRPr="004C6A01">
        <w:t>scrub</w:t>
      </w:r>
      <w:r>
        <w:t xml:space="preserve"> with a brush if scratching is not critical (</w:t>
      </w:r>
      <w:r w:rsidRPr="004C6A01">
        <w:rPr>
          <w:b/>
        </w:rPr>
        <w:t>D</w:t>
      </w:r>
      <w:r w:rsidR="00605A79">
        <w:rPr>
          <w:b/>
        </w:rPr>
        <w:t xml:space="preserve">o not </w:t>
      </w:r>
      <w:bookmarkStart w:id="0" w:name="_GoBack"/>
      <w:bookmarkEnd w:id="0"/>
      <w:r w:rsidRPr="004C6A01">
        <w:rPr>
          <w:b/>
        </w:rPr>
        <w:t>scrub optical glass or quartz!</w:t>
      </w:r>
      <w:r>
        <w:t xml:space="preserve"> If absolutely necessary, use a foam- or cotton-tipped </w:t>
      </w:r>
      <w:r w:rsidR="00367749">
        <w:t>swab</w:t>
      </w:r>
      <w:r>
        <w:t>).</w:t>
      </w:r>
    </w:p>
    <w:p w:rsidR="00F754C5" w:rsidRDefault="0023349C" w:rsidP="00C32F6D">
      <w:r>
        <w:t xml:space="preserve">3) Prepare up to </w:t>
      </w:r>
      <w:r w:rsidRPr="000B2020">
        <w:rPr>
          <w:b/>
        </w:rPr>
        <w:t>10% HCl</w:t>
      </w:r>
      <w:r>
        <w:t xml:space="preserve"> </w:t>
      </w:r>
      <w:r>
        <w:rPr>
          <w:i/>
        </w:rPr>
        <w:t xml:space="preserve">or </w:t>
      </w:r>
      <w:r>
        <w:t xml:space="preserve">up to </w:t>
      </w:r>
      <w:r w:rsidRPr="000B2020">
        <w:rPr>
          <w:b/>
        </w:rPr>
        <w:t>10% HNO</w:t>
      </w:r>
      <w:r w:rsidRPr="000B2020">
        <w:rPr>
          <w:b/>
          <w:vertAlign w:val="subscript"/>
        </w:rPr>
        <w:t>3</w:t>
      </w:r>
      <w:r>
        <w:t xml:space="preserve"> for the acid bath.  </w:t>
      </w:r>
      <w:r w:rsidR="000B2020">
        <w:rPr>
          <w:b/>
        </w:rPr>
        <w:t>Concentrated</w:t>
      </w:r>
      <w:r>
        <w:rPr>
          <w:b/>
        </w:rPr>
        <w:t xml:space="preserve"> acid bath</w:t>
      </w:r>
      <w:r w:rsidR="000B2020">
        <w:rPr>
          <w:b/>
        </w:rPr>
        <w:t>s</w:t>
      </w:r>
      <w:r>
        <w:rPr>
          <w:b/>
        </w:rPr>
        <w:t xml:space="preserve"> must be prepared and located </w:t>
      </w:r>
      <w:r w:rsidR="004C6A01">
        <w:rPr>
          <w:b/>
        </w:rPr>
        <w:t>in</w:t>
      </w:r>
      <w:r>
        <w:rPr>
          <w:b/>
        </w:rPr>
        <w:t xml:space="preserve"> a chemical fume hood</w:t>
      </w:r>
      <w:r w:rsidR="004C6A01">
        <w:rPr>
          <w:b/>
        </w:rPr>
        <w:t xml:space="preserve"> and labeled</w:t>
      </w:r>
      <w:r>
        <w:rPr>
          <w:b/>
        </w:rPr>
        <w:t xml:space="preserve">.  </w:t>
      </w:r>
      <w:r w:rsidR="004C6A01">
        <w:t>Soak the glassware overnight</w:t>
      </w:r>
      <w:r w:rsidR="000B2020">
        <w:t xml:space="preserve"> in the bath</w:t>
      </w:r>
      <w:r w:rsidR="004C6A01">
        <w:t xml:space="preserve">.  Optionally, the container to be cleaned may be filled with the acid solution, covered, and left in secondary containment </w:t>
      </w:r>
      <w:r w:rsidR="000B2020">
        <w:t xml:space="preserve">(labeled) </w:t>
      </w:r>
      <w:r w:rsidR="004C6A01">
        <w:t>in a hood.</w:t>
      </w:r>
    </w:p>
    <w:p w:rsidR="00367749" w:rsidRDefault="0023349C" w:rsidP="00C32F6D">
      <w:r>
        <w:t xml:space="preserve">4) </w:t>
      </w:r>
      <w:r w:rsidR="004C6A01">
        <w:t>Rinse at least 6 times with DI water. Dry by air-drying or in a drying oven.</w:t>
      </w:r>
      <w:r w:rsidR="00367749">
        <w:br/>
      </w:r>
    </w:p>
    <w:p w:rsidR="00367749" w:rsidRPr="00367749" w:rsidRDefault="00367749" w:rsidP="00C32F6D">
      <w:pPr>
        <w:rPr>
          <w:b/>
          <w:i/>
        </w:rPr>
      </w:pPr>
      <w:r>
        <w:rPr>
          <w:b/>
          <w:u w:val="single"/>
        </w:rPr>
        <w:t>Option C.</w:t>
      </w:r>
      <w:r>
        <w:t xml:space="preserve">  </w:t>
      </w:r>
      <w:r>
        <w:rPr>
          <w:b/>
          <w:i/>
        </w:rPr>
        <w:t>Ultrasonic cleaning – NOT for optical glassware (e.g. cuvettes, photoreactor vials)</w:t>
      </w:r>
    </w:p>
    <w:p w:rsidR="00367749" w:rsidRPr="0023349C" w:rsidRDefault="00367749" w:rsidP="00367749">
      <w:pPr>
        <w:rPr>
          <w:b/>
          <w:i/>
        </w:rPr>
      </w:pPr>
      <w:r>
        <w:t>1) Wear the appropriate PPE (gloves, safety glasses, lab coat).</w:t>
      </w:r>
    </w:p>
    <w:p w:rsidR="00367749" w:rsidRPr="00623938" w:rsidRDefault="00367749" w:rsidP="00367749">
      <w:r>
        <w:t xml:space="preserve">2) </w:t>
      </w:r>
      <w:r>
        <w:t>Rinse the dirty glassware with water first.  Then place in a beaker of clean DI water</w:t>
      </w:r>
      <w:r w:rsidR="00623938">
        <w:t xml:space="preserve"> or mild soap solution</w:t>
      </w:r>
      <w:r>
        <w:t xml:space="preserve"> and bath sonicate.  Follow safety instructions for the sonicator (e.g. use a basket instead of placing containers on the bottom of the sonicator).</w:t>
      </w:r>
      <w:r w:rsidR="00623938">
        <w:t xml:space="preserve"> </w:t>
      </w:r>
      <w:r w:rsidR="00623938">
        <w:rPr>
          <w:b/>
        </w:rPr>
        <w:t xml:space="preserve">Do not </w:t>
      </w:r>
      <w:r w:rsidR="00623938">
        <w:t>use for optical glassware to avoid etching.</w:t>
      </w:r>
    </w:p>
    <w:p w:rsidR="00367749" w:rsidRDefault="00367749" w:rsidP="00367749">
      <w:r>
        <w:t>3) Rinse at least 6 times with DI water.  Dry by air-drying or in a drying oven.</w:t>
      </w:r>
      <w:r w:rsidR="00623938">
        <w:br/>
      </w:r>
    </w:p>
    <w:p w:rsidR="00623938" w:rsidRPr="00623938" w:rsidRDefault="00623938" w:rsidP="00367749">
      <w:pPr>
        <w:rPr>
          <w:b/>
          <w:sz w:val="24"/>
          <w:u w:val="single"/>
        </w:rPr>
      </w:pPr>
      <w:r w:rsidRPr="00623938">
        <w:rPr>
          <w:b/>
          <w:sz w:val="24"/>
          <w:u w:val="single"/>
        </w:rPr>
        <w:t>Cuvette Cleaning:</w:t>
      </w:r>
      <w:r>
        <w:rPr>
          <w:b/>
          <w:sz w:val="24"/>
          <w:u w:val="single"/>
        </w:rPr>
        <w:br/>
      </w:r>
      <w:r>
        <w:t>Cleaning solutions for quartz cuvettes (e.g. for UV-vis or fluorescence spectrometers) can be purchased.</w:t>
      </w:r>
      <w:r>
        <w:br/>
        <w:t xml:space="preserve">A detailed list of options is also available from </w:t>
      </w:r>
      <w:hyperlink r:id="rId8" w:history="1">
        <w:r w:rsidRPr="00623938">
          <w:rPr>
            <w:rStyle w:val="Hyperlink"/>
          </w:rPr>
          <w:t>FireflySci</w:t>
        </w:r>
      </w:hyperlink>
      <w:r>
        <w:t>.</w:t>
      </w:r>
      <w:r>
        <w:br/>
      </w:r>
    </w:p>
    <w:p w:rsidR="006A6CAD" w:rsidRPr="00623938" w:rsidRDefault="006A6CAD" w:rsidP="00C32F6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Cleaning Procedure for Organic Samples:</w:t>
      </w:r>
      <w:r w:rsidR="00623938">
        <w:rPr>
          <w:b/>
          <w:sz w:val="24"/>
          <w:u w:val="single"/>
        </w:rPr>
        <w:br/>
      </w:r>
      <w:r>
        <w:t xml:space="preserve">As our lab does not typically work with organic solutions, you are advised to look up cleaning procedures elsewhere.  An organic solvent will be needed, such as acetone.  </w:t>
      </w:r>
      <w:hyperlink r:id="rId9" w:history="1">
        <w:r w:rsidRPr="006A6CAD">
          <w:rPr>
            <w:rStyle w:val="Hyperlink"/>
          </w:rPr>
          <w:t xml:space="preserve">A miscibility table </w:t>
        </w:r>
        <w:r w:rsidR="00623938">
          <w:rPr>
            <w:rStyle w:val="Hyperlink"/>
          </w:rPr>
          <w:t>will</w:t>
        </w:r>
        <w:r w:rsidRPr="006A6CAD">
          <w:rPr>
            <w:rStyle w:val="Hyperlink"/>
          </w:rPr>
          <w:t xml:space="preserve"> be helpful</w:t>
        </w:r>
      </w:hyperlink>
      <w:r>
        <w:t>.</w:t>
      </w:r>
      <w:r w:rsidR="00623938">
        <w:rPr>
          <w:b/>
          <w:sz w:val="24"/>
          <w:u w:val="single"/>
        </w:rPr>
        <w:br/>
      </w:r>
    </w:p>
    <w:p w:rsidR="004C6A01" w:rsidRPr="00367749" w:rsidRDefault="00623938" w:rsidP="00C32F6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Special n</w:t>
      </w:r>
      <w:r w:rsidR="004C6A01" w:rsidRPr="00367749">
        <w:rPr>
          <w:b/>
          <w:sz w:val="24"/>
          <w:u w:val="single"/>
        </w:rPr>
        <w:t>otes for nanoparticle contamination:</w:t>
      </w:r>
    </w:p>
    <w:p w:rsidR="000B2020" w:rsidRPr="006A6CAD" w:rsidRDefault="006A6CAD" w:rsidP="00C32F6D">
      <w:r>
        <w:t>I</w:t>
      </w:r>
      <w:r w:rsidR="000B2020" w:rsidRPr="006A6CAD">
        <w:t xml:space="preserve">f inorganic nanoparticles are observed stuck to glassware after the above cleaning procedures, it is advisable to </w:t>
      </w:r>
      <w:r w:rsidRPr="006A6CAD">
        <w:rPr>
          <w:b/>
        </w:rPr>
        <w:t>discard the glassware</w:t>
      </w:r>
      <w:r w:rsidR="000B2020" w:rsidRPr="006A6CAD">
        <w:t xml:space="preserve"> </w:t>
      </w:r>
      <w:r w:rsidRPr="006A6CAD">
        <w:t xml:space="preserve">instead of attempting further </w:t>
      </w:r>
      <w:r w:rsidR="000B2020" w:rsidRPr="006A6CAD">
        <w:t>cleaning.</w:t>
      </w:r>
      <w:r w:rsidR="00367749">
        <w:t xml:space="preserve"> Especially problematic nanoparticles include the following:</w:t>
      </w:r>
    </w:p>
    <w:p w:rsidR="004C6A01" w:rsidRDefault="000B2020" w:rsidP="00C32F6D">
      <w:r w:rsidRPr="00367749">
        <w:rPr>
          <w:b/>
          <w:i/>
        </w:rPr>
        <w:t>Titanium dioxide (</w:t>
      </w:r>
      <w:r w:rsidR="004C6A01" w:rsidRPr="00367749">
        <w:rPr>
          <w:b/>
          <w:i/>
        </w:rPr>
        <w:t>TiO</w:t>
      </w:r>
      <w:r w:rsidR="004C6A01" w:rsidRPr="00367749">
        <w:rPr>
          <w:b/>
          <w:i/>
          <w:vertAlign w:val="subscript"/>
        </w:rPr>
        <w:t>2</w:t>
      </w:r>
      <w:r w:rsidRPr="00367749">
        <w:rPr>
          <w:b/>
          <w:i/>
        </w:rPr>
        <w:t>)</w:t>
      </w:r>
      <w:r w:rsidR="004C6A01" w:rsidRPr="00367749">
        <w:rPr>
          <w:b/>
          <w:i/>
        </w:rPr>
        <w:t xml:space="preserve"> nanoparticles:</w:t>
      </w:r>
      <w:r w:rsidR="004C6A01">
        <w:t xml:space="preserve">  TiO</w:t>
      </w:r>
      <w:r w:rsidR="004C6A01">
        <w:rPr>
          <w:vertAlign w:val="subscript"/>
        </w:rPr>
        <w:t>2</w:t>
      </w:r>
      <w:r w:rsidR="004C6A01">
        <w:t xml:space="preserve"> does not dissolve in typical</w:t>
      </w:r>
      <w:r>
        <w:t xml:space="preserve"> cleaning solutions.  </w:t>
      </w:r>
      <w:r w:rsidR="004C6A01">
        <w:t>A TiO</w:t>
      </w:r>
      <w:r w:rsidR="004C6A01">
        <w:rPr>
          <w:vertAlign w:val="subscript"/>
        </w:rPr>
        <w:t>2</w:t>
      </w:r>
      <w:r w:rsidR="004C6A01">
        <w:t xml:space="preserve"> dissolution procedure is available from </w:t>
      </w:r>
      <w:hyperlink r:id="rId10" w:history="1">
        <w:r w:rsidR="004C6A01" w:rsidRPr="004C6A01">
          <w:rPr>
            <w:rStyle w:val="Hyperlink"/>
          </w:rPr>
          <w:t>DuPont</w:t>
        </w:r>
      </w:hyperlink>
      <w:r w:rsidR="004C6A01">
        <w:t xml:space="preserve"> but requires the use of heated H</w:t>
      </w:r>
      <w:r w:rsidR="004C6A01">
        <w:rPr>
          <w:vertAlign w:val="subscript"/>
        </w:rPr>
        <w:t>2</w:t>
      </w:r>
      <w:r w:rsidR="004C6A01">
        <w:t>SO</w:t>
      </w:r>
      <w:r w:rsidR="004C6A01">
        <w:rPr>
          <w:vertAlign w:val="subscript"/>
        </w:rPr>
        <w:t>4</w:t>
      </w:r>
      <w:r w:rsidR="004C6A01">
        <w:t xml:space="preserve">, which is </w:t>
      </w:r>
      <w:r>
        <w:t xml:space="preserve">too </w:t>
      </w:r>
      <w:r w:rsidR="006A6CAD">
        <w:t>hazardous</w:t>
      </w:r>
      <w:r>
        <w:t xml:space="preserve"> to be worthwhile for </w:t>
      </w:r>
      <w:r w:rsidR="006A6CAD">
        <w:t xml:space="preserve">regular </w:t>
      </w:r>
      <w:r>
        <w:t>glassware cleaning.</w:t>
      </w:r>
    </w:p>
    <w:p w:rsidR="000B2020" w:rsidRPr="000B2020" w:rsidRDefault="000B2020" w:rsidP="00C32F6D">
      <w:r w:rsidRPr="00367749">
        <w:rPr>
          <w:b/>
          <w:i/>
        </w:rPr>
        <w:t>Gold (Au) nanoparticles:</w:t>
      </w:r>
      <w:r>
        <w:t xml:space="preserve">  Au can be dissolved using </w:t>
      </w:r>
      <w:r w:rsidR="006A6CAD">
        <w:t>aqua regia</w:t>
      </w:r>
      <w:r>
        <w:t xml:space="preserve">, but this is too </w:t>
      </w:r>
      <w:r w:rsidR="006A6CAD">
        <w:t>hazardous</w:t>
      </w:r>
      <w:r>
        <w:t xml:space="preserve"> to be worthwhile</w:t>
      </w:r>
      <w:r w:rsidR="006A6CAD">
        <w:t xml:space="preserve"> for regular glassware cleaning.  </w:t>
      </w:r>
      <w:r w:rsidR="006A6CAD" w:rsidRPr="006A6CAD">
        <w:rPr>
          <w:i/>
        </w:rPr>
        <w:t>D</w:t>
      </w:r>
      <w:r w:rsidR="006A6CAD">
        <w:rPr>
          <w:i/>
        </w:rPr>
        <w:t>ilute</w:t>
      </w:r>
      <w:r w:rsidR="006A6CAD">
        <w:t xml:space="preserve"> aqua regia, e.g. </w:t>
      </w:r>
      <w:hyperlink r:id="rId11" w:history="1">
        <w:r w:rsidR="006A6CAD" w:rsidRPr="006A6CAD">
          <w:rPr>
            <w:rStyle w:val="Hyperlink"/>
          </w:rPr>
          <w:t>1.0 % v/v, 3 parts HCl/1 part HNO</w:t>
        </w:r>
        <w:r w:rsidR="006A6CAD" w:rsidRPr="006A6CAD">
          <w:rPr>
            <w:rStyle w:val="Hyperlink"/>
            <w:vertAlign w:val="subscript"/>
          </w:rPr>
          <w:t>3</w:t>
        </w:r>
      </w:hyperlink>
      <w:r w:rsidR="006A6CAD">
        <w:t xml:space="preserve">, may </w:t>
      </w:r>
      <w:r w:rsidR="00367749">
        <w:t xml:space="preserve">work and could </w:t>
      </w:r>
      <w:r w:rsidR="006A6CAD">
        <w:t>be acceptable, but ask for permission first.</w:t>
      </w:r>
    </w:p>
    <w:sectPr w:rsidR="000B2020" w:rsidRPr="000B2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72E3F"/>
    <w:multiLevelType w:val="hybridMultilevel"/>
    <w:tmpl w:val="CA887C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6D"/>
    <w:rsid w:val="000B2020"/>
    <w:rsid w:val="001A06F9"/>
    <w:rsid w:val="0023349C"/>
    <w:rsid w:val="00367749"/>
    <w:rsid w:val="004C6A01"/>
    <w:rsid w:val="00605A79"/>
    <w:rsid w:val="00623938"/>
    <w:rsid w:val="0062434D"/>
    <w:rsid w:val="006A6CAD"/>
    <w:rsid w:val="006B69A3"/>
    <w:rsid w:val="007447D3"/>
    <w:rsid w:val="00B2350B"/>
    <w:rsid w:val="00B84B18"/>
    <w:rsid w:val="00C32F6D"/>
    <w:rsid w:val="00CB4933"/>
    <w:rsid w:val="00F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5E5D8-7D1D-4B5E-905A-14F2C073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F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5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4B1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flysci.com/news/2015/8/4/quartz-cuvette-cleaning-find-the-best-cleaning-for-your-appl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conox.com/laborato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pella.com/cleaning_html/detergnt.htm" TargetMode="External"/><Relationship Id="rId11" Type="http://schemas.openxmlformats.org/officeDocument/2006/relationships/hyperlink" Target="http://ws680.nist.gov/publication/get_pdf.cfm?pub_id=92122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hemours.com/Titanium_Technologies/es_US/tech_info/test_methods/CONCENTRATED_ACID_SOLUBILITY_OF_TiO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arlab.com/tabla-reactivos-mezclabilida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Louie, Stacey M</dc:creator>
  <cp:keywords/>
  <dc:description/>
  <cp:lastModifiedBy>Louie, Stacey M</cp:lastModifiedBy>
  <cp:revision>2</cp:revision>
  <dcterms:created xsi:type="dcterms:W3CDTF">2017-07-12T21:47:00Z</dcterms:created>
  <dcterms:modified xsi:type="dcterms:W3CDTF">2017-07-13T00:04:00Z</dcterms:modified>
</cp:coreProperties>
</file>